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На фирменном бланке</w:t>
              <w:br/>
              <w:t>Исх. № ____________ от «___» __________ 20___ г.</w:t>
            </w:r>
          </w:p>
        </w:tc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ЗАЯВЛЕНИЕ О ПРИЁМЕ В ЧЛЕНЫ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саморегулируемой организации Союз «Инновационные технологии проектирования»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Сведения о кандидате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Статус кандидата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юридическое лицо   ☐ индивидуальный предприниматель   ☐ иностранное юридическое лицо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Полное наименование / Ф.И.О. 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Сокращённое наименование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ОГРН / ОГРНИП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КПП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 / 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Адрес по ЕГРЮЛ / ЕГРИП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Почтовый адрес (если отличается)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Телефон / электронная почта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 / 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Контактное лицо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 __________________________ должность __________________ телефон 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Планируемые объекты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объекты капитального строительства, кроме особо опасных, технически сложных, уникальных и объектов использования атомной энергии;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особо опасные, технически сложные и уникальные объекты, кроме объектов использования атомной энергии;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объекты использования атомной энергии (реквизиты лицензии: ________________________________).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Компенсационный фонд возмещения вреда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13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4252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Стоимость работ по одному договору</w:t>
            </w:r>
          </w:p>
        </w:tc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Взнос</w:t>
            </w:r>
          </w:p>
        </w:tc>
        <w:tc>
          <w:tcPr>
            <w:tcW w:type="dxa" w:w="170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Выбор</w:t>
            </w:r>
          </w:p>
        </w:tc>
      </w:tr>
      <w:tr>
        <w:trPr>
          <w:cantSplit/>
        </w:trPr>
        <w:tc>
          <w:tcPr>
            <w:tcW w:type="dxa" w:w="113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1</w:t>
            </w:r>
          </w:p>
        </w:tc>
        <w:tc>
          <w:tcPr>
            <w:tcW w:type="dxa" w:w="4252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не превышает 25 млн руб.</w:t>
            </w:r>
          </w:p>
        </w:tc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50 000 руб.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113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2</w:t>
            </w:r>
          </w:p>
        </w:tc>
        <w:tc>
          <w:tcPr>
            <w:tcW w:type="dxa" w:w="4252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не превышает 50 млн руб.</w:t>
            </w:r>
          </w:p>
        </w:tc>
        <w:tc>
          <w:tcPr>
            <w:tcW w:type="dxa" w:w="255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150 000 руб.</w:t>
            </w:r>
          </w:p>
        </w:tc>
        <w:tc>
          <w:tcPr>
            <w:tcW w:type="dxa" w:w="170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113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3</w:t>
            </w:r>
          </w:p>
        </w:tc>
        <w:tc>
          <w:tcPr>
            <w:tcW w:type="dxa" w:w="4252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не превышает 300 млн руб.</w:t>
            </w:r>
          </w:p>
        </w:tc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500 000 руб.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113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4</w:t>
            </w:r>
          </w:p>
        </w:tc>
        <w:tc>
          <w:tcPr>
            <w:tcW w:type="dxa" w:w="4252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300 млн руб. и более</w:t>
            </w:r>
          </w:p>
        </w:tc>
        <w:tc>
          <w:tcPr>
            <w:tcW w:type="dxa" w:w="255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1 000 000 руб.</w:t>
            </w:r>
          </w:p>
        </w:tc>
        <w:tc>
          <w:tcPr>
            <w:tcW w:type="dxa" w:w="170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4. Договоры с использованием конкурентных способов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намерение имеется;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намерение отсутствует (таблица ниже не заполняется).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113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4252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Совокупный размер обязательств</w:t>
            </w:r>
          </w:p>
        </w:tc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Взнос в КФ ОДО</w:t>
            </w:r>
          </w:p>
        </w:tc>
        <w:tc>
          <w:tcPr>
            <w:tcW w:type="dxa" w:w="170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Выбор</w:t>
            </w:r>
          </w:p>
        </w:tc>
      </w:tr>
      <w:tr>
        <w:trPr>
          <w:cantSplit/>
        </w:trPr>
        <w:tc>
          <w:tcPr>
            <w:tcW w:type="dxa" w:w="113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1</w:t>
            </w:r>
          </w:p>
        </w:tc>
        <w:tc>
          <w:tcPr>
            <w:tcW w:type="dxa" w:w="4252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не превышает 25 млн руб.</w:t>
            </w:r>
          </w:p>
        </w:tc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150 000 руб.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113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2</w:t>
            </w:r>
          </w:p>
        </w:tc>
        <w:tc>
          <w:tcPr>
            <w:tcW w:type="dxa" w:w="4252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не превышает 50 млн руб.</w:t>
            </w:r>
          </w:p>
        </w:tc>
        <w:tc>
          <w:tcPr>
            <w:tcW w:type="dxa" w:w="255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350 000 руб.</w:t>
            </w:r>
          </w:p>
        </w:tc>
        <w:tc>
          <w:tcPr>
            <w:tcW w:type="dxa" w:w="170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113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3</w:t>
            </w:r>
          </w:p>
        </w:tc>
        <w:tc>
          <w:tcPr>
            <w:tcW w:type="dxa" w:w="4252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не превышает 300 млн руб.</w:t>
            </w:r>
          </w:p>
        </w:tc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2 500 000 руб.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  <w:tr>
        <w:trPr>
          <w:cantSplit/>
        </w:trPr>
        <w:tc>
          <w:tcPr>
            <w:tcW w:type="dxa" w:w="1134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4</w:t>
            </w:r>
          </w:p>
        </w:tc>
        <w:tc>
          <w:tcPr>
            <w:tcW w:type="dxa" w:w="4252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300 млн руб. и более</w:t>
            </w:r>
          </w:p>
        </w:tc>
        <w:tc>
          <w:tcPr>
            <w:tcW w:type="dxa" w:w="255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3 500 000 руб.</w:t>
            </w:r>
          </w:p>
        </w:tc>
        <w:tc>
          <w:tcPr>
            <w:tcW w:type="dxa" w:w="170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5. Подтверждения кандидата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сведения и приложенные документы достоверны;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с Уставом и внутренними документами Союза, размещёнными на официальном сайте, ознакомлен(а);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обязуюсь соблюдать применимые требования законодательства Российской Федерации и внутренних документов Союза;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в случае приёма обязуюсь сообщать Союзу в письменной форме или в форме электронного документа о событиях, изменяющих сведения, содержащиеся в реестре членов Союза, в течение трёх рабочих дней со дня, следующего за днём наступления соответствующего события;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при намерении заключать договоры конкурентными способами прошу предоставить соответствующее право после выполнения установленных условий.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6. Приложения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1.  Регистрационные и учредительные документы; для иностранного юридического лица — надлежащим образом заверенный перевод и документы о регистрации.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2.  Документы, подтверждающие соответствие требованиям к руководителю и специалистам.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3.  Анкета кандидата; обязательство; сведения о специалистах НРС.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4.  Подтверждение наличия договора (полиса) страхования гражданской ответственности.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5.  Для особо опасных, технически сложных, уникальных объектов и объектов использования атомной энергии — специальные сведения и документы.</w:t>
      </w:r>
    </w:p>
    <w:p>
      <w:pPr>
        <w:ind w:left="340" w:hanging="34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6.  Иные документы по описи на ______ листах.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Основание: раздел 2 и приложения к Положению о членстве Союза ИТП. Срок уплаты установленных взносов после уведомления о приёме — семь рабочих дней.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907" w:left="113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color w:val="1E2D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приёме в члены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